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120"/>
        <w:jc w:val="center"/>
        <w:rPr/>
      </w:pPr>
      <w:r>
        <w:rPr>
          <w:b/>
          <w:color w:val="000000"/>
          <w:sz w:val="27"/>
        </w:rPr>
        <w:t>ANEXO I</w:t>
      </w:r>
      <w:r>
        <w:rPr>
          <w:b/>
          <w:color w:val="000000"/>
          <w:sz w:val="27"/>
        </w:rPr>
        <w:t>II -</w:t>
      </w:r>
      <w:r>
        <w:rPr>
          <w:b/>
          <w:color w:val="000000"/>
          <w:sz w:val="27"/>
        </w:rPr>
        <w:t xml:space="preserve"> ESPECIFICAÇÕES TÉCNICAS DO KIT DE LANCHE</w:t>
      </w:r>
    </w:p>
    <w:p>
      <w:pPr>
        <w:pStyle w:val="Normal"/>
        <w:spacing w:lineRule="auto" w:line="276" w:before="0" w:after="120"/>
        <w:jc w:val="both"/>
        <w:rPr/>
      </w:pPr>
      <w:r>
        <w:rPr>
          <w:b w:val="false"/>
          <w:i w:val="false"/>
          <w:color w:val="000000"/>
          <w:sz w:val="21"/>
        </w:rPr>
        <w:t>As especificações abaixo integram o objeto e deverão ser observadas pela contratada durante o preparo e o fornecimento dos kits.</w:t>
      </w:r>
    </w:p>
    <w:p>
      <w:pPr>
        <w:pStyle w:val="Normal"/>
        <w:spacing w:before="160" w:after="60"/>
        <w:rPr/>
      </w:pPr>
      <w:r>
        <w:rPr>
          <w:b/>
          <w:color w:val="000000"/>
          <w:sz w:val="21"/>
        </w:rPr>
        <w:t>Pão integral ou com sementes</w:t>
      </w:r>
    </w:p>
    <w:p>
      <w:pPr>
        <w:pStyle w:val="Normal"/>
        <w:spacing w:lineRule="auto" w:line="276" w:before="0" w:after="120"/>
        <w:jc w:val="both"/>
        <w:rPr/>
      </w:pPr>
      <w:r>
        <w:rPr>
          <w:b w:val="false"/>
          <w:i w:val="false"/>
          <w:color w:val="000000"/>
          <w:sz w:val="21"/>
        </w:rPr>
        <w:t>Produto com peso entre 90 e 100 g, elaborado preferencialmente com farinha integral e/ou cereais integrais. Deverá apresentar cor, aroma, sabor, textura e aparência próprios, estar adequado ao consumo e não conter gordura trans industrial adicionada. Priorizar produto com maior proporção de ingredientes integrais, sem adição de açúcar ou com baixo teor de açúcares adicionados e teor controlado de sódio.</w:t>
      </w:r>
    </w:p>
    <w:p>
      <w:pPr>
        <w:pStyle w:val="Normal"/>
        <w:spacing w:before="160" w:after="60"/>
        <w:rPr/>
      </w:pPr>
      <w:r>
        <w:rPr>
          <w:b/>
          <w:color w:val="000000"/>
          <w:sz w:val="21"/>
        </w:rPr>
        <w:t>Preparação proteica</w:t>
      </w:r>
    </w:p>
    <w:p>
      <w:pPr>
        <w:pStyle w:val="Normal"/>
        <w:spacing w:lineRule="auto" w:line="276" w:before="0" w:after="120"/>
        <w:jc w:val="both"/>
        <w:rPr/>
      </w:pPr>
      <w:r>
        <w:rPr>
          <w:b w:val="false"/>
          <w:i w:val="false"/>
          <w:color w:val="000000"/>
          <w:sz w:val="21"/>
        </w:rPr>
        <w:t>Porção entre 50 e 70 g, à base de frango, carne bovina ou suína magra, ou proteína vegetal, conforme o planejamento do cardápio. Deverá ser elaborada preferencialmente com alimentos in natura ou minimamente processados. Não serão permitidas carnes processadas, como presunto, apresuntado, mortadela, salame, linguiça, salsicha e similares.</w:t>
      </w:r>
    </w:p>
    <w:p>
      <w:pPr>
        <w:pStyle w:val="Normal"/>
        <w:spacing w:before="160" w:after="60"/>
        <w:rPr/>
      </w:pPr>
      <w:r>
        <w:rPr>
          <w:b/>
          <w:color w:val="000000"/>
          <w:sz w:val="21"/>
        </w:rPr>
        <w:t>Hortaliças e/ou legumes</w:t>
      </w:r>
    </w:p>
    <w:p>
      <w:pPr>
        <w:pStyle w:val="Normal"/>
        <w:spacing w:lineRule="auto" w:line="276" w:before="0" w:after="120"/>
        <w:jc w:val="both"/>
        <w:rPr/>
      </w:pPr>
      <w:r>
        <w:rPr>
          <w:b w:val="false"/>
          <w:i w:val="false"/>
          <w:color w:val="000000"/>
          <w:sz w:val="21"/>
        </w:rPr>
        <w:t>Porção entre 15 e 40 g, preferencialmente in natura ou minimamente processada, higienizada e própria para consumo. Poderá ser oferecida crua ou cozida, conforme a preparação. Quando utilizada na composição do sanduíche, recomenda se a porção entre 30 e 40 g.</w:t>
      </w:r>
    </w:p>
    <w:p>
      <w:pPr>
        <w:pStyle w:val="Normal"/>
        <w:spacing w:before="160" w:after="60"/>
        <w:rPr/>
      </w:pPr>
      <w:r>
        <w:rPr>
          <w:b/>
          <w:color w:val="000000"/>
          <w:sz w:val="21"/>
        </w:rPr>
        <w:t>Molho ou pasta</w:t>
      </w:r>
    </w:p>
    <w:p>
      <w:pPr>
        <w:pStyle w:val="Normal"/>
        <w:spacing w:lineRule="auto" w:line="276" w:before="0" w:after="120"/>
        <w:jc w:val="both"/>
        <w:rPr/>
      </w:pPr>
      <w:r>
        <w:rPr>
          <w:b w:val="false"/>
          <w:i w:val="false"/>
          <w:color w:val="000000"/>
          <w:sz w:val="21"/>
        </w:rPr>
        <w:t>Quando previsto na preparação, porção entre 10 e 25 g, elaborada preferencialmente à base de ingredientes in natura ou minimamente processados. Deverá ter composição previamente definida, não conter gordura trans industrial e apresentar teores controlados de sódio, açúcares adicionados e gorduras saturadas.</w:t>
      </w:r>
    </w:p>
    <w:p>
      <w:pPr>
        <w:pStyle w:val="Normal"/>
        <w:spacing w:before="160" w:after="60"/>
        <w:rPr/>
      </w:pPr>
      <w:r>
        <w:rPr>
          <w:b/>
          <w:color w:val="000000"/>
          <w:sz w:val="21"/>
        </w:rPr>
        <w:t>Fruta in natura</w:t>
      </w:r>
    </w:p>
    <w:p>
      <w:pPr>
        <w:pStyle w:val="Normal"/>
        <w:spacing w:lineRule="auto" w:line="276" w:before="0" w:after="120"/>
        <w:jc w:val="both"/>
        <w:rPr/>
      </w:pPr>
      <w:r>
        <w:rPr>
          <w:b w:val="false"/>
          <w:i w:val="false"/>
          <w:color w:val="000000"/>
          <w:sz w:val="21"/>
        </w:rPr>
        <w:t>Uma unidade de boa qualidade, própria para consumo, em estágio de maturação adequado, sem sinais de deterioração. A porção deverá ter peso compatível com o público atendido, preferencialmente entre 100 e 150 g por unidade. Poderão ser utilizadas frutas da época, como banana, maçã, laranja, bergamota ou tangerina, ou equivalentes sazonais.</w:t>
      </w:r>
    </w:p>
    <w:p>
      <w:pPr>
        <w:pStyle w:val="Normal"/>
        <w:spacing w:before="160" w:after="60"/>
        <w:rPr/>
      </w:pPr>
      <w:r>
        <w:rPr>
          <w:b/>
          <w:color w:val="000000"/>
          <w:sz w:val="21"/>
        </w:rPr>
        <w:t>Suco de frutas</w:t>
      </w:r>
    </w:p>
    <w:p>
      <w:pPr>
        <w:pStyle w:val="Normal"/>
        <w:spacing w:lineRule="auto" w:line="276" w:before="0" w:after="120"/>
        <w:jc w:val="both"/>
        <w:rPr/>
      </w:pPr>
      <w:r>
        <w:rPr>
          <w:b w:val="false"/>
          <w:i w:val="false"/>
          <w:color w:val="000000"/>
          <w:sz w:val="21"/>
        </w:rPr>
        <w:t>Porção de 200 mL, preparada a partir de fruta ou polpa de fruta, sem adição de açúcar e preferencialmente sem adoçantes, corantes ou aromatizantes artificiais. Deverá manter sabor, aroma, cor e aspecto próprios da fruta utilizada e ser acondicionado, conservado, transportado e distribuído em condições adequadas.</w:t>
      </w:r>
    </w:p>
    <w:p>
      <w:pPr>
        <w:pStyle w:val="Normal"/>
        <w:spacing w:before="300" w:after="120"/>
        <w:jc w:val="start"/>
        <w:rPr/>
      </w:pPr>
      <w:r>
        <w:rPr>
          <w:b/>
          <w:color w:val="000000"/>
          <w:sz w:val="27"/>
        </w:rPr>
        <w:t>ANEXO II ALIMENTOS EQUIVALENTES</w:t>
      </w:r>
    </w:p>
    <w:p>
      <w:pPr>
        <w:pStyle w:val="Normal"/>
        <w:spacing w:lineRule="auto" w:line="276" w:before="0" w:after="120"/>
        <w:jc w:val="both"/>
        <w:rPr/>
      </w:pPr>
      <w:r>
        <w:rPr>
          <w:b w:val="false"/>
          <w:i w:val="false"/>
          <w:color w:val="000000"/>
          <w:sz w:val="21"/>
        </w:rPr>
        <w:t>Os alimentos de referência poderão ser substituídos por opções equivalentes, desde que mantidas as especificações nutricionais e as condições deste Termo de Referência.</w:t>
      </w:r>
    </w:p>
    <w:tbl>
      <w:tblPr>
        <w:tblStyle w:val="TableGrid"/>
        <w:tblW w:w="9972" w:type="dxa"/>
        <w:jc w:val="center"/>
        <w:tblInd w:w="0" w:type="dxa"/>
        <w:tblLayout w:type="fixed"/>
        <w:tblCellMar>
          <w:top w:w="95" w:type="dxa"/>
          <w:start w:w="95" w:type="dxa"/>
          <w:bottom w:w="95" w:type="dxa"/>
          <w:end w:w="95" w:type="dxa"/>
        </w:tblCellMar>
        <w:tblLook w:val="04a0" w:firstRow="1" w:noVBand="1" w:lastRow="0" w:firstColumn="1" w:lastColumn="0" w:noHBand="0"/>
      </w:tblPr>
      <w:tblGrid>
        <w:gridCol w:w="3324"/>
        <w:gridCol w:w="3324"/>
        <w:gridCol w:w="3324"/>
      </w:tblGrid>
      <w:tr>
        <w:trPr>
          <w:tblHeader w:val="true"/>
        </w:trPr>
        <w:tc>
          <w:tcPr>
            <w:tcW w:w="3324" w:type="dxa"/>
            <w:tcBorders>
              <w:top w:val="single" w:sz="6" w:space="0" w:color="B7B7B7"/>
              <w:start w:val="single" w:sz="6" w:space="0" w:color="B7B7B7"/>
              <w:bottom w:val="single" w:sz="6" w:space="0" w:color="B7B7B7"/>
              <w:end w:val="single" w:sz="6" w:space="0" w:color="B7B7B7"/>
            </w:tcBorders>
            <w:shd w:fill="1F4E7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0"/>
              <w:jc w:val="center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color w:val="FFFFFF"/>
                <w:kern w:val="0"/>
                <w:sz w:val="17"/>
                <w:szCs w:val="22"/>
                <w:lang w:val="en-US" w:eastAsia="en-US" w:bidi="ar-SA"/>
              </w:rPr>
              <w:t>Grupo</w:t>
            </w:r>
          </w:p>
        </w:tc>
        <w:tc>
          <w:tcPr>
            <w:tcW w:w="3324" w:type="dxa"/>
            <w:tcBorders>
              <w:top w:val="single" w:sz="6" w:space="0" w:color="B7B7B7"/>
              <w:start w:val="single" w:sz="6" w:space="0" w:color="B7B7B7"/>
              <w:bottom w:val="single" w:sz="6" w:space="0" w:color="B7B7B7"/>
              <w:end w:val="single" w:sz="6" w:space="0" w:color="B7B7B7"/>
            </w:tcBorders>
            <w:shd w:fill="1F4E7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0"/>
              <w:jc w:val="center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color w:val="FFFFFF"/>
                <w:kern w:val="0"/>
                <w:sz w:val="17"/>
                <w:szCs w:val="22"/>
                <w:lang w:val="en-US" w:eastAsia="en-US" w:bidi="ar-SA"/>
              </w:rPr>
              <w:t>Alimento de referência</w:t>
            </w:r>
          </w:p>
        </w:tc>
        <w:tc>
          <w:tcPr>
            <w:tcW w:w="3324" w:type="dxa"/>
            <w:tcBorders>
              <w:top w:val="single" w:sz="6" w:space="0" w:color="B7B7B7"/>
              <w:start w:val="single" w:sz="6" w:space="0" w:color="B7B7B7"/>
              <w:bottom w:val="single" w:sz="6" w:space="0" w:color="B7B7B7"/>
              <w:end w:val="single" w:sz="6" w:space="0" w:color="B7B7B7"/>
            </w:tcBorders>
            <w:shd w:fill="1F4E79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0"/>
              <w:jc w:val="center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/>
                <w:color w:val="FFFFFF"/>
                <w:kern w:val="0"/>
                <w:sz w:val="17"/>
                <w:szCs w:val="22"/>
                <w:lang w:val="en-US" w:eastAsia="en-US" w:bidi="ar-SA"/>
              </w:rPr>
              <w:t>Possíveis substitutos</w:t>
            </w:r>
          </w:p>
        </w:tc>
      </w:tr>
      <w:tr>
        <w:trPr/>
        <w:tc>
          <w:tcPr>
            <w:tcW w:w="3324" w:type="dxa"/>
            <w:tcBorders>
              <w:top w:val="single" w:sz="6" w:space="0" w:color="B7B7B7"/>
              <w:start w:val="single" w:sz="6" w:space="0" w:color="B7B7B7"/>
              <w:bottom w:val="single" w:sz="6" w:space="0" w:color="B7B7B7"/>
              <w:end w:val="single" w:sz="6" w:space="0" w:color="B7B7B7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0"/>
              <w:jc w:val="center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color w:val="000000"/>
                <w:kern w:val="0"/>
                <w:sz w:val="17"/>
                <w:szCs w:val="22"/>
                <w:lang w:val="en-US" w:eastAsia="en-US" w:bidi="ar-SA"/>
              </w:rPr>
              <w:t>Frango</w:t>
            </w:r>
          </w:p>
        </w:tc>
        <w:tc>
          <w:tcPr>
            <w:tcW w:w="3324" w:type="dxa"/>
            <w:tcBorders>
              <w:top w:val="single" w:sz="6" w:space="0" w:color="B7B7B7"/>
              <w:start w:val="single" w:sz="6" w:space="0" w:color="B7B7B7"/>
              <w:bottom w:val="single" w:sz="6" w:space="0" w:color="B7B7B7"/>
              <w:end w:val="single" w:sz="6" w:space="0" w:color="B7B7B7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color w:val="000000"/>
                <w:kern w:val="0"/>
                <w:sz w:val="17"/>
                <w:szCs w:val="22"/>
                <w:lang w:val="en-US" w:eastAsia="en-US" w:bidi="ar-SA"/>
              </w:rPr>
              <w:t>Peito de frango</w:t>
            </w:r>
          </w:p>
        </w:tc>
        <w:tc>
          <w:tcPr>
            <w:tcW w:w="3324" w:type="dxa"/>
            <w:tcBorders>
              <w:top w:val="single" w:sz="6" w:space="0" w:color="B7B7B7"/>
              <w:start w:val="single" w:sz="6" w:space="0" w:color="B7B7B7"/>
              <w:bottom w:val="single" w:sz="6" w:space="0" w:color="B7B7B7"/>
              <w:end w:val="single" w:sz="6" w:space="0" w:color="B7B7B7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0"/>
              <w:jc w:val="center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color w:val="000000"/>
                <w:kern w:val="0"/>
                <w:sz w:val="17"/>
                <w:szCs w:val="22"/>
                <w:lang w:val="en-US" w:eastAsia="en-US" w:bidi="ar-SA"/>
              </w:rPr>
              <w:t>Outra preparação de frango equivalente</w:t>
            </w:r>
          </w:p>
        </w:tc>
      </w:tr>
      <w:tr>
        <w:trPr/>
        <w:tc>
          <w:tcPr>
            <w:tcW w:w="3324" w:type="dxa"/>
            <w:tcBorders>
              <w:top w:val="single" w:sz="6" w:space="0" w:color="B7B7B7"/>
              <w:start w:val="single" w:sz="6" w:space="0" w:color="B7B7B7"/>
              <w:bottom w:val="single" w:sz="6" w:space="0" w:color="B7B7B7"/>
              <w:end w:val="single" w:sz="6" w:space="0" w:color="B7B7B7"/>
            </w:tcBorders>
            <w:shd w:fill="F2F6FA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0"/>
              <w:jc w:val="center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color w:val="000000"/>
                <w:kern w:val="0"/>
                <w:sz w:val="17"/>
                <w:szCs w:val="22"/>
                <w:lang w:val="en-US" w:eastAsia="en-US" w:bidi="ar-SA"/>
              </w:rPr>
              <w:t>Carne</w:t>
            </w:r>
          </w:p>
        </w:tc>
        <w:tc>
          <w:tcPr>
            <w:tcW w:w="3324" w:type="dxa"/>
            <w:tcBorders>
              <w:top w:val="single" w:sz="6" w:space="0" w:color="B7B7B7"/>
              <w:start w:val="single" w:sz="6" w:space="0" w:color="B7B7B7"/>
              <w:bottom w:val="single" w:sz="6" w:space="0" w:color="B7B7B7"/>
              <w:end w:val="single" w:sz="6" w:space="0" w:color="B7B7B7"/>
            </w:tcBorders>
            <w:shd w:fill="F2F6FA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color w:val="000000"/>
                <w:kern w:val="0"/>
                <w:sz w:val="17"/>
                <w:szCs w:val="22"/>
                <w:lang w:val="en-US" w:eastAsia="en-US" w:bidi="ar-SA"/>
              </w:rPr>
              <w:t>Carne bovina magra</w:t>
            </w:r>
          </w:p>
        </w:tc>
        <w:tc>
          <w:tcPr>
            <w:tcW w:w="3324" w:type="dxa"/>
            <w:tcBorders>
              <w:top w:val="single" w:sz="6" w:space="0" w:color="B7B7B7"/>
              <w:start w:val="single" w:sz="6" w:space="0" w:color="B7B7B7"/>
              <w:bottom w:val="single" w:sz="6" w:space="0" w:color="B7B7B7"/>
              <w:end w:val="single" w:sz="6" w:space="0" w:color="B7B7B7"/>
            </w:tcBorders>
            <w:shd w:fill="F2F6FA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0"/>
              <w:jc w:val="center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color w:val="000000"/>
                <w:kern w:val="0"/>
                <w:sz w:val="17"/>
                <w:szCs w:val="22"/>
                <w:lang w:val="en-US" w:eastAsia="en-US" w:bidi="ar-SA"/>
              </w:rPr>
              <w:t>Carne suína magra</w:t>
            </w:r>
          </w:p>
        </w:tc>
      </w:tr>
      <w:tr>
        <w:trPr/>
        <w:tc>
          <w:tcPr>
            <w:tcW w:w="3324" w:type="dxa"/>
            <w:tcBorders>
              <w:top w:val="single" w:sz="6" w:space="0" w:color="B7B7B7"/>
              <w:start w:val="single" w:sz="6" w:space="0" w:color="B7B7B7"/>
              <w:bottom w:val="single" w:sz="6" w:space="0" w:color="B7B7B7"/>
              <w:end w:val="single" w:sz="6" w:space="0" w:color="B7B7B7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0"/>
              <w:jc w:val="center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color w:val="000000"/>
                <w:kern w:val="0"/>
                <w:sz w:val="17"/>
                <w:szCs w:val="22"/>
                <w:lang w:val="en-US" w:eastAsia="en-US" w:bidi="ar-SA"/>
              </w:rPr>
              <w:t>Proteína vegetal</w:t>
            </w:r>
          </w:p>
        </w:tc>
        <w:tc>
          <w:tcPr>
            <w:tcW w:w="3324" w:type="dxa"/>
            <w:tcBorders>
              <w:top w:val="single" w:sz="6" w:space="0" w:color="B7B7B7"/>
              <w:start w:val="single" w:sz="6" w:space="0" w:color="B7B7B7"/>
              <w:bottom w:val="single" w:sz="6" w:space="0" w:color="B7B7B7"/>
              <w:end w:val="single" w:sz="6" w:space="0" w:color="B7B7B7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color w:val="000000"/>
                <w:kern w:val="0"/>
                <w:sz w:val="17"/>
                <w:szCs w:val="22"/>
                <w:lang w:val="en-US" w:eastAsia="en-US" w:bidi="ar-SA"/>
              </w:rPr>
              <w:t>Proteína texturizada de soja</w:t>
            </w:r>
          </w:p>
        </w:tc>
        <w:tc>
          <w:tcPr>
            <w:tcW w:w="3324" w:type="dxa"/>
            <w:tcBorders>
              <w:top w:val="single" w:sz="6" w:space="0" w:color="B7B7B7"/>
              <w:start w:val="single" w:sz="6" w:space="0" w:color="B7B7B7"/>
              <w:bottom w:val="single" w:sz="6" w:space="0" w:color="B7B7B7"/>
              <w:end w:val="single" w:sz="6" w:space="0" w:color="B7B7B7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0"/>
              <w:jc w:val="center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color w:val="000000"/>
                <w:kern w:val="0"/>
                <w:sz w:val="17"/>
                <w:szCs w:val="22"/>
                <w:lang w:val="en-US" w:eastAsia="en-US" w:bidi="ar-SA"/>
              </w:rPr>
              <w:t>Outra proteína vegetal nutricionalmente equivalente</w:t>
            </w:r>
          </w:p>
        </w:tc>
      </w:tr>
      <w:tr>
        <w:trPr/>
        <w:tc>
          <w:tcPr>
            <w:tcW w:w="3324" w:type="dxa"/>
            <w:tcBorders>
              <w:top w:val="single" w:sz="6" w:space="0" w:color="B7B7B7"/>
              <w:start w:val="single" w:sz="6" w:space="0" w:color="B7B7B7"/>
              <w:bottom w:val="single" w:sz="6" w:space="0" w:color="B7B7B7"/>
              <w:end w:val="single" w:sz="6" w:space="0" w:color="B7B7B7"/>
            </w:tcBorders>
            <w:shd w:fill="F2F6FA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0"/>
              <w:jc w:val="center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color w:val="000000"/>
                <w:kern w:val="0"/>
                <w:sz w:val="17"/>
                <w:szCs w:val="22"/>
                <w:lang w:val="en-US" w:eastAsia="en-US" w:bidi="ar-SA"/>
              </w:rPr>
              <w:t>Folhosa</w:t>
            </w:r>
          </w:p>
        </w:tc>
        <w:tc>
          <w:tcPr>
            <w:tcW w:w="3324" w:type="dxa"/>
            <w:tcBorders>
              <w:top w:val="single" w:sz="6" w:space="0" w:color="B7B7B7"/>
              <w:start w:val="single" w:sz="6" w:space="0" w:color="B7B7B7"/>
              <w:bottom w:val="single" w:sz="6" w:space="0" w:color="B7B7B7"/>
              <w:end w:val="single" w:sz="6" w:space="0" w:color="B7B7B7"/>
            </w:tcBorders>
            <w:shd w:fill="F2F6FA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color w:val="000000"/>
                <w:kern w:val="0"/>
                <w:sz w:val="17"/>
                <w:szCs w:val="22"/>
                <w:lang w:val="en-US" w:eastAsia="en-US" w:bidi="ar-SA"/>
              </w:rPr>
              <w:t>Alface</w:t>
            </w:r>
          </w:p>
        </w:tc>
        <w:tc>
          <w:tcPr>
            <w:tcW w:w="3324" w:type="dxa"/>
            <w:tcBorders>
              <w:top w:val="single" w:sz="6" w:space="0" w:color="B7B7B7"/>
              <w:start w:val="single" w:sz="6" w:space="0" w:color="B7B7B7"/>
              <w:bottom w:val="single" w:sz="6" w:space="0" w:color="B7B7B7"/>
              <w:end w:val="single" w:sz="6" w:space="0" w:color="B7B7B7"/>
            </w:tcBorders>
            <w:shd w:fill="F2F6FA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0"/>
              <w:jc w:val="center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color w:val="000000"/>
                <w:kern w:val="0"/>
                <w:sz w:val="17"/>
                <w:szCs w:val="22"/>
                <w:lang w:val="en-US" w:eastAsia="en-US" w:bidi="ar-SA"/>
              </w:rPr>
              <w:t>Couve, rúcula ou outra hortaliça folhosa</w:t>
            </w:r>
          </w:p>
        </w:tc>
      </w:tr>
      <w:tr>
        <w:trPr/>
        <w:tc>
          <w:tcPr>
            <w:tcW w:w="3324" w:type="dxa"/>
            <w:tcBorders>
              <w:top w:val="single" w:sz="6" w:space="0" w:color="B7B7B7"/>
              <w:start w:val="single" w:sz="6" w:space="0" w:color="B7B7B7"/>
              <w:bottom w:val="single" w:sz="6" w:space="0" w:color="B7B7B7"/>
              <w:end w:val="single" w:sz="6" w:space="0" w:color="B7B7B7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0"/>
              <w:jc w:val="center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color w:val="000000"/>
                <w:kern w:val="0"/>
                <w:sz w:val="17"/>
                <w:szCs w:val="22"/>
                <w:lang w:val="en-US" w:eastAsia="en-US" w:bidi="ar-SA"/>
              </w:rPr>
              <w:t>Legume 1</w:t>
            </w:r>
          </w:p>
        </w:tc>
        <w:tc>
          <w:tcPr>
            <w:tcW w:w="3324" w:type="dxa"/>
            <w:tcBorders>
              <w:top w:val="single" w:sz="6" w:space="0" w:color="B7B7B7"/>
              <w:start w:val="single" w:sz="6" w:space="0" w:color="B7B7B7"/>
              <w:bottom w:val="single" w:sz="6" w:space="0" w:color="B7B7B7"/>
              <w:end w:val="single" w:sz="6" w:space="0" w:color="B7B7B7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color w:val="000000"/>
                <w:kern w:val="0"/>
                <w:sz w:val="17"/>
                <w:szCs w:val="22"/>
                <w:lang w:val="en-US" w:eastAsia="en-US" w:bidi="ar-SA"/>
              </w:rPr>
              <w:t>Cenoura</w:t>
            </w:r>
          </w:p>
        </w:tc>
        <w:tc>
          <w:tcPr>
            <w:tcW w:w="3324" w:type="dxa"/>
            <w:tcBorders>
              <w:top w:val="single" w:sz="6" w:space="0" w:color="B7B7B7"/>
              <w:start w:val="single" w:sz="6" w:space="0" w:color="B7B7B7"/>
              <w:bottom w:val="single" w:sz="6" w:space="0" w:color="B7B7B7"/>
              <w:end w:val="single" w:sz="6" w:space="0" w:color="B7B7B7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0"/>
              <w:jc w:val="center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color w:val="000000"/>
                <w:kern w:val="0"/>
                <w:sz w:val="17"/>
                <w:szCs w:val="22"/>
                <w:lang w:val="en-US" w:eastAsia="en-US" w:bidi="ar-SA"/>
              </w:rPr>
              <w:t>Abóbora, beterraba ou cenoura</w:t>
            </w:r>
          </w:p>
        </w:tc>
      </w:tr>
      <w:tr>
        <w:trPr/>
        <w:tc>
          <w:tcPr>
            <w:tcW w:w="3324" w:type="dxa"/>
            <w:tcBorders>
              <w:top w:val="single" w:sz="6" w:space="0" w:color="B7B7B7"/>
              <w:start w:val="single" w:sz="6" w:space="0" w:color="B7B7B7"/>
              <w:bottom w:val="single" w:sz="6" w:space="0" w:color="B7B7B7"/>
              <w:end w:val="single" w:sz="6" w:space="0" w:color="B7B7B7"/>
            </w:tcBorders>
            <w:shd w:fill="F2F6FA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0"/>
              <w:jc w:val="center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color w:val="000000"/>
                <w:kern w:val="0"/>
                <w:sz w:val="17"/>
                <w:szCs w:val="22"/>
                <w:lang w:val="en-US" w:eastAsia="en-US" w:bidi="ar-SA"/>
              </w:rPr>
              <w:t>Legume 2</w:t>
            </w:r>
          </w:p>
        </w:tc>
        <w:tc>
          <w:tcPr>
            <w:tcW w:w="3324" w:type="dxa"/>
            <w:tcBorders>
              <w:top w:val="single" w:sz="6" w:space="0" w:color="B7B7B7"/>
              <w:start w:val="single" w:sz="6" w:space="0" w:color="B7B7B7"/>
              <w:bottom w:val="single" w:sz="6" w:space="0" w:color="B7B7B7"/>
              <w:end w:val="single" w:sz="6" w:space="0" w:color="B7B7B7"/>
            </w:tcBorders>
            <w:shd w:fill="F2F6FA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color w:val="000000"/>
                <w:kern w:val="0"/>
                <w:sz w:val="17"/>
                <w:szCs w:val="22"/>
                <w:lang w:val="en-US" w:eastAsia="en-US" w:bidi="ar-SA"/>
              </w:rPr>
              <w:t>Brócolis</w:t>
            </w:r>
          </w:p>
        </w:tc>
        <w:tc>
          <w:tcPr>
            <w:tcW w:w="3324" w:type="dxa"/>
            <w:tcBorders>
              <w:top w:val="single" w:sz="6" w:space="0" w:color="B7B7B7"/>
              <w:start w:val="single" w:sz="6" w:space="0" w:color="B7B7B7"/>
              <w:bottom w:val="single" w:sz="6" w:space="0" w:color="B7B7B7"/>
              <w:end w:val="single" w:sz="6" w:space="0" w:color="B7B7B7"/>
            </w:tcBorders>
            <w:shd w:fill="F2F6FA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0"/>
              <w:jc w:val="center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color w:val="000000"/>
                <w:kern w:val="0"/>
                <w:sz w:val="17"/>
                <w:szCs w:val="22"/>
                <w:lang w:val="en-US" w:eastAsia="en-US" w:bidi="ar-SA"/>
              </w:rPr>
              <w:t>Couve flor, vagem, chuchu ou abobrinha</w:t>
            </w:r>
          </w:p>
        </w:tc>
      </w:tr>
      <w:tr>
        <w:trPr/>
        <w:tc>
          <w:tcPr>
            <w:tcW w:w="3324" w:type="dxa"/>
            <w:tcBorders>
              <w:top w:val="single" w:sz="6" w:space="0" w:color="B7B7B7"/>
              <w:start w:val="single" w:sz="6" w:space="0" w:color="B7B7B7"/>
              <w:bottom w:val="single" w:sz="6" w:space="0" w:color="B7B7B7"/>
              <w:end w:val="single" w:sz="6" w:space="0" w:color="B7B7B7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0"/>
              <w:jc w:val="center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color w:val="000000"/>
                <w:kern w:val="0"/>
                <w:sz w:val="17"/>
                <w:szCs w:val="22"/>
                <w:lang w:val="en-US" w:eastAsia="en-US" w:bidi="ar-SA"/>
              </w:rPr>
              <w:t>Molho</w:t>
            </w:r>
          </w:p>
        </w:tc>
        <w:tc>
          <w:tcPr>
            <w:tcW w:w="3324" w:type="dxa"/>
            <w:tcBorders>
              <w:top w:val="single" w:sz="6" w:space="0" w:color="B7B7B7"/>
              <w:start w:val="single" w:sz="6" w:space="0" w:color="B7B7B7"/>
              <w:bottom w:val="single" w:sz="6" w:space="0" w:color="B7B7B7"/>
              <w:end w:val="single" w:sz="6" w:space="0" w:color="B7B7B7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color w:val="000000"/>
                <w:kern w:val="0"/>
                <w:sz w:val="17"/>
                <w:szCs w:val="22"/>
                <w:lang w:val="en-US" w:eastAsia="en-US" w:bidi="ar-SA"/>
              </w:rPr>
              <w:t>Tomate</w:t>
            </w:r>
          </w:p>
        </w:tc>
        <w:tc>
          <w:tcPr>
            <w:tcW w:w="3324" w:type="dxa"/>
            <w:tcBorders>
              <w:top w:val="single" w:sz="6" w:space="0" w:color="B7B7B7"/>
              <w:start w:val="single" w:sz="6" w:space="0" w:color="B7B7B7"/>
              <w:bottom w:val="single" w:sz="6" w:space="0" w:color="B7B7B7"/>
              <w:end w:val="single" w:sz="6" w:space="0" w:color="B7B7B7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0"/>
              <w:jc w:val="center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color w:val="000000"/>
                <w:kern w:val="0"/>
                <w:sz w:val="17"/>
                <w:szCs w:val="22"/>
                <w:lang w:val="en-US" w:eastAsia="en-US" w:bidi="ar-SA"/>
              </w:rPr>
              <w:t>Preparação vegetal equivalente</w:t>
            </w:r>
          </w:p>
        </w:tc>
      </w:tr>
      <w:tr>
        <w:trPr/>
        <w:tc>
          <w:tcPr>
            <w:tcW w:w="3324" w:type="dxa"/>
            <w:tcBorders>
              <w:top w:val="single" w:sz="6" w:space="0" w:color="B7B7B7"/>
              <w:start w:val="single" w:sz="6" w:space="0" w:color="B7B7B7"/>
              <w:bottom w:val="single" w:sz="6" w:space="0" w:color="B7B7B7"/>
              <w:end w:val="single" w:sz="6" w:space="0" w:color="B7B7B7"/>
            </w:tcBorders>
            <w:shd w:fill="F2F6FA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0"/>
              <w:jc w:val="center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color w:val="000000"/>
                <w:kern w:val="0"/>
                <w:sz w:val="17"/>
                <w:szCs w:val="22"/>
                <w:lang w:val="en-US" w:eastAsia="en-US" w:bidi="ar-SA"/>
              </w:rPr>
              <w:t>Fruta</w:t>
            </w:r>
          </w:p>
        </w:tc>
        <w:tc>
          <w:tcPr>
            <w:tcW w:w="3324" w:type="dxa"/>
            <w:tcBorders>
              <w:top w:val="single" w:sz="6" w:space="0" w:color="B7B7B7"/>
              <w:start w:val="single" w:sz="6" w:space="0" w:color="B7B7B7"/>
              <w:bottom w:val="single" w:sz="6" w:space="0" w:color="B7B7B7"/>
              <w:end w:val="single" w:sz="6" w:space="0" w:color="B7B7B7"/>
            </w:tcBorders>
            <w:shd w:fill="F2F6FA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color w:val="000000"/>
                <w:kern w:val="0"/>
                <w:sz w:val="17"/>
                <w:szCs w:val="22"/>
                <w:lang w:val="en-US" w:eastAsia="en-US" w:bidi="ar-SA"/>
              </w:rPr>
              <w:t>Banana</w:t>
            </w:r>
          </w:p>
        </w:tc>
        <w:tc>
          <w:tcPr>
            <w:tcW w:w="3324" w:type="dxa"/>
            <w:tcBorders>
              <w:top w:val="single" w:sz="6" w:space="0" w:color="B7B7B7"/>
              <w:start w:val="single" w:sz="6" w:space="0" w:color="B7B7B7"/>
              <w:bottom w:val="single" w:sz="6" w:space="0" w:color="B7B7B7"/>
              <w:end w:val="single" w:sz="6" w:space="0" w:color="B7B7B7"/>
            </w:tcBorders>
            <w:shd w:fill="F2F6FA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0"/>
              <w:jc w:val="center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color w:val="000000"/>
                <w:kern w:val="0"/>
                <w:sz w:val="17"/>
                <w:szCs w:val="22"/>
                <w:lang w:val="en-US" w:eastAsia="en-US" w:bidi="ar-SA"/>
              </w:rPr>
              <w:t>Maçã, laranja, bergamota, tangerina ou fruta sazonal equivalente</w:t>
            </w:r>
          </w:p>
        </w:tc>
      </w:tr>
      <w:tr>
        <w:trPr/>
        <w:tc>
          <w:tcPr>
            <w:tcW w:w="3324" w:type="dxa"/>
            <w:tcBorders>
              <w:top w:val="single" w:sz="6" w:space="0" w:color="B7B7B7"/>
              <w:start w:val="single" w:sz="6" w:space="0" w:color="B7B7B7"/>
              <w:bottom w:val="single" w:sz="6" w:space="0" w:color="B7B7B7"/>
              <w:end w:val="single" w:sz="6" w:space="0" w:color="B7B7B7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0"/>
              <w:jc w:val="center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color w:val="000000"/>
                <w:kern w:val="0"/>
                <w:sz w:val="17"/>
                <w:szCs w:val="22"/>
                <w:lang w:val="en-US" w:eastAsia="en-US" w:bidi="ar-SA"/>
              </w:rPr>
              <w:t>Suco</w:t>
            </w:r>
          </w:p>
        </w:tc>
        <w:tc>
          <w:tcPr>
            <w:tcW w:w="3324" w:type="dxa"/>
            <w:tcBorders>
              <w:top w:val="single" w:sz="6" w:space="0" w:color="B7B7B7"/>
              <w:start w:val="single" w:sz="6" w:space="0" w:color="B7B7B7"/>
              <w:bottom w:val="single" w:sz="6" w:space="0" w:color="B7B7B7"/>
              <w:end w:val="single" w:sz="6" w:space="0" w:color="B7B7B7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0"/>
              <w:jc w:val="start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color w:val="000000"/>
                <w:kern w:val="0"/>
                <w:sz w:val="17"/>
                <w:szCs w:val="22"/>
                <w:lang w:val="en-US" w:eastAsia="en-US" w:bidi="ar-SA"/>
              </w:rPr>
              <w:t>Limão</w:t>
            </w:r>
          </w:p>
        </w:tc>
        <w:tc>
          <w:tcPr>
            <w:tcW w:w="3324" w:type="dxa"/>
            <w:tcBorders>
              <w:top w:val="single" w:sz="6" w:space="0" w:color="B7B7B7"/>
              <w:start w:val="single" w:sz="6" w:space="0" w:color="B7B7B7"/>
              <w:bottom w:val="single" w:sz="6" w:space="0" w:color="B7B7B7"/>
              <w:end w:val="single" w:sz="6" w:space="0" w:color="B7B7B7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52" w:before="0" w:after="0"/>
              <w:jc w:val="center"/>
              <w:rPr>
                <w:rFonts w:eastAsia="ＭＳ 明朝" w:cs=""/>
                <w:kern w:val="0"/>
                <w:szCs w:val="22"/>
                <w:lang w:val="en-US" w:eastAsia="en-US" w:bidi="ar-SA"/>
              </w:rPr>
            </w:pPr>
            <w:r>
              <w:rPr>
                <w:rFonts w:eastAsia="ＭＳ 明朝" w:cs=""/>
                <w:b w:val="false"/>
                <w:color w:val="000000"/>
                <w:kern w:val="0"/>
                <w:sz w:val="17"/>
                <w:szCs w:val="22"/>
                <w:lang w:val="en-US" w:eastAsia="en-US" w:bidi="ar-SA"/>
              </w:rPr>
              <w:t>Laranja, bergamota, tangerina ou outra fruta adequada</w:t>
            </w:r>
          </w:p>
        </w:tc>
      </w:tr>
    </w:tbl>
    <w:p>
      <w:pPr>
        <w:pStyle w:val="Normal"/>
        <w:spacing w:before="0" w:after="20"/>
        <w:rPr/>
      </w:pPr>
      <w:r>
        <w:rPr/>
      </w:r>
    </w:p>
    <w:sectPr>
      <w:footerReference w:type="even" r:id="rId2"/>
      <w:footerReference w:type="default" r:id="rId3"/>
      <w:footerReference w:type="first" r:id="rId4"/>
      <w:type w:val="nextPage"/>
      <w:pgSz w:w="12240" w:h="15840"/>
      <w:pgMar w:left="1134" w:right="1134" w:gutter="0" w:header="0" w:top="1020" w:footer="720" w:bottom="10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mbria"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Courier">
    <w:altName w:val="Courier New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end"/>
      <w:rPr/>
    </w:pPr>
    <w:r>
      <w:rPr>
        <w:color w:val="000000"/>
        <w:sz w:val="17"/>
      </w:rPr>
      <w:t>IFSul Câmpus Sapiranga | Termo de Referência</w:t>
    </w:r>
    <w:r>
      <w:rPr/>
      <w:tab/>
    </w:r>
    <w:r>
      <w:rPr>
        <w:color w:val="000000"/>
        <w:sz w:val="17"/>
      </w:rPr>
      <w:t xml:space="preserve">Página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end"/>
      <w:rPr/>
    </w:pPr>
    <w:r>
      <w:rPr>
        <w:color w:val="000000"/>
        <w:sz w:val="17"/>
      </w:rPr>
      <w:t>IFSul Câmpus Sapiranga | Termo de Referência</w:t>
    </w:r>
    <w:r>
      <w:rPr/>
      <w:tab/>
    </w:r>
    <w:r>
      <w:rPr>
        <w:color w:val="000000"/>
        <w:sz w:val="17"/>
      </w:rPr>
      <w:t xml:space="preserve">Página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360"/>
        </w:tabs>
        <w:ind w:star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1080"/>
        </w:tabs>
        <w:ind w:star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decimal"/>
      <w:lvlText w:val="%1."/>
      <w:lvlJc w:val="start"/>
      <w:pPr>
        <w:tabs>
          <w:tab w:val="num" w:pos="360"/>
        </w:tabs>
        <w:ind w:start="36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6">
    <w:lvl w:ilvl="0">
      <w:start w:val="1"/>
      <w:numFmt w:val="decimal"/>
      <w:lvlText w:val="%1."/>
      <w:lvlJc w:val="start"/>
      <w:pPr>
        <w:tabs>
          <w:tab w:val="num" w:pos="1080"/>
        </w:tabs>
        <w:ind w:start="108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7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" w:cs="" w:cstheme="minorBidi" w:eastAsiaTheme="minorEastAsia"/>
      <w:color w:val="auto"/>
      <w:kern w:val="0"/>
      <w:sz w:val="21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" w:cs="" w:asciiTheme="majorHAnsi" w:cstheme="majorBidi" w:eastAsiaTheme="majorEastAsia" w:hAnsiTheme="majorHAnsi"/>
      <w:b/>
      <w:bCs/>
      <w:color w:themeColor="accent1"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" w:cs="" w:asciiTheme="majorHAnsi" w:cstheme="majorBidi" w:eastAsiaTheme="majorEastAsia" w:hAnsiTheme="majorHAnsi"/>
      <w:b/>
      <w:bCs/>
      <w:i/>
      <w:iCs/>
      <w:color w:themeColor="accent1"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" w:cs="" w:asciiTheme="majorHAnsi" w:cstheme="majorBidi" w:eastAsiaTheme="majorEastAsia" w:hAnsiTheme="majorHAnsi"/>
      <w:color w:themeColor="accent1" w:themeShade="7f"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" w:cs="" w:asciiTheme="majorHAnsi" w:cstheme="majorBidi" w:eastAsiaTheme="majorEastAsia" w:hAnsiTheme="majorHAnsi"/>
      <w:i/>
      <w:iCs/>
      <w:color w:themeColor="accent1" w:themeShade="7f"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" w:cs="" w:asciiTheme="majorHAnsi" w:cstheme="majorBidi" w:eastAsiaTheme="majorEastAsia" w:hAnsiTheme="majorHAnsi"/>
      <w:i/>
      <w:iCs/>
      <w:color w:themeColor="text1" w:themeTint="bf"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" w:cs="" w:asciiTheme="majorHAnsi" w:cstheme="majorBidi" w:eastAsiaTheme="majorEastAsia" w:hAnsiTheme="majorHAnsi"/>
      <w:color w:themeColor="accent1"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HeaderChar" w:customStyle="1">
    <w:name w:val="Header Char"/>
    <w:basedOn w:val="DefaultParagraphFont"/>
    <w:uiPriority w:val="99"/>
    <w:qFormat/>
    <w:rsid w:val="00e618bf"/>
    <w:rPr/>
  </w:style>
  <w:style w:type="character" w:styleId="FooterChar" w:customStyle="1">
    <w:name w:val="Footer Char"/>
    <w:basedOn w:val="DefaultParagraphFont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sid w:val="00fc693f"/>
    <w:rPr>
      <w:rFonts w:ascii="Calibri" w:hAnsi="Calibri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eading2Char" w:customStyle="1">
    <w:name w:val="Heading 2 Char"/>
    <w:basedOn w:val="DefaultParagraphFont"/>
    <w:uiPriority w:val="9"/>
    <w:qFormat/>
    <w:rsid w:val="00fc693f"/>
    <w:rPr>
      <w:rFonts w:ascii="Calibri" w:hAnsi="Calibri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Heading3Char" w:customStyle="1">
    <w:name w:val="Heading 3 Char"/>
    <w:basedOn w:val="DefaultParagraphFont"/>
    <w:uiPriority w:val="9"/>
    <w:qFormat/>
    <w:rsid w:val="00fc693f"/>
    <w:rPr>
      <w:rFonts w:ascii="Calibri" w:hAnsi="Calibri" w:eastAsia="" w:cs="" w:asciiTheme="majorHAnsi" w:cstheme="majorBidi" w:eastAsiaTheme="majorEastAsia" w:hAnsiTheme="majorHAnsi"/>
      <w:b/>
      <w:bCs/>
      <w:color w:themeColor="accent1" w:val="4F81BD"/>
    </w:rPr>
  </w:style>
  <w:style w:type="character" w:styleId="TitleChar" w:customStyle="1">
    <w:name w:val="Title Char"/>
    <w:basedOn w:val="DefaultParagraphFont"/>
    <w:uiPriority w:val="10"/>
    <w:qFormat/>
    <w:rsid w:val="00fc693f"/>
    <w:rPr>
      <w:rFonts w:ascii="Calibri" w:hAnsi="Calibri" w:eastAsia="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uiPriority w:val="11"/>
    <w:qFormat/>
    <w:rsid w:val="00fc693f"/>
    <w:rPr>
      <w:rFonts w:ascii="Calibri" w:hAnsi="Calibri" w:eastAsia="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BodyTextChar" w:customStyle="1">
    <w:name w:val="Body Text Char"/>
    <w:basedOn w:val="DefaultParagraphFon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Text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themeColor="text1" w:val="000000"/>
    </w:rPr>
  </w:style>
  <w:style w:type="character" w:styleId="Heading4Char" w:customStyle="1">
    <w:name w:val="Heading 4 Char"/>
    <w:basedOn w:val="DefaultParagraphFont"/>
    <w:uiPriority w:val="9"/>
    <w:semiHidden/>
    <w:qFormat/>
    <w:rsid w:val="00fc693f"/>
    <w:rPr>
      <w:rFonts w:ascii="Calibri" w:hAnsi="Calibri" w:eastAsia="" w:cs="" w:asciiTheme="majorHAnsi" w:cstheme="majorBidi" w:eastAsiaTheme="majorEastAsia" w:hAnsiTheme="majorHAnsi"/>
      <w:b/>
      <w:bCs/>
      <w:i/>
      <w:iCs/>
      <w:color w:themeColor="accent1" w:val="4F81BD"/>
    </w:rPr>
  </w:style>
  <w:style w:type="character" w:styleId="Heading5Char" w:customStyle="1">
    <w:name w:val="Heading 5 Char"/>
    <w:basedOn w:val="DefaultParagraphFont"/>
    <w:uiPriority w:val="9"/>
    <w:semiHidden/>
    <w:qFormat/>
    <w:rsid w:val="00fc693f"/>
    <w:rPr>
      <w:rFonts w:ascii="Calibri" w:hAnsi="Calibri" w:eastAsia="" w:cs="" w:asciiTheme="majorHAnsi" w:cstheme="majorBidi" w:eastAsiaTheme="majorEastAsia" w:hAnsiTheme="majorHAnsi"/>
      <w:color w:themeColor="accent1" w:themeShade="7f" w:val="243F60"/>
    </w:rPr>
  </w:style>
  <w:style w:type="character" w:styleId="Heading6Char" w:customStyle="1">
    <w:name w:val="Heading 6 Char"/>
    <w:basedOn w:val="DefaultParagraphFont"/>
    <w:uiPriority w:val="9"/>
    <w:semiHidden/>
    <w:qFormat/>
    <w:rsid w:val="00fc693f"/>
    <w:rPr>
      <w:rFonts w:ascii="Calibri" w:hAnsi="Calibri" w:eastAsia="" w:cs="" w:asciiTheme="majorHAnsi" w:cstheme="majorBidi" w:eastAsiaTheme="majorEastAsia" w:hAnsiTheme="majorHAnsi"/>
      <w:i/>
      <w:iCs/>
      <w:color w:themeColor="accent1" w:themeShade="7f" w:val="243F60"/>
    </w:rPr>
  </w:style>
  <w:style w:type="character" w:styleId="Heading7Char" w:customStyle="1">
    <w:name w:val="Heading 7 Char"/>
    <w:basedOn w:val="DefaultParagraphFont"/>
    <w:uiPriority w:val="9"/>
    <w:semiHidden/>
    <w:qFormat/>
    <w:rsid w:val="00fc693f"/>
    <w:rPr>
      <w:rFonts w:ascii="Calibri" w:hAnsi="Calibri" w:eastAsia="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Heading8Char" w:customStyle="1">
    <w:name w:val="Heading 8 Char"/>
    <w:basedOn w:val="DefaultParagraphFont"/>
    <w:uiPriority w:val="9"/>
    <w:semiHidden/>
    <w:qFormat/>
    <w:rsid w:val="00fc693f"/>
    <w:rPr>
      <w:rFonts w:ascii="Calibri" w:hAnsi="Calibri" w:eastAsia="" w:cs="" w:asciiTheme="majorHAnsi" w:cstheme="majorBidi" w:eastAsiaTheme="majorEastAsia" w:hAnsiTheme="majorHAnsi"/>
      <w:color w:themeColor="accent1" w:val="4F81BD"/>
      <w:sz w:val="20"/>
      <w:szCs w:val="20"/>
    </w:rPr>
  </w:style>
  <w:style w:type="character" w:styleId="Heading9Char" w:customStyle="1">
    <w:name w:val="Heading 9 Char"/>
    <w:basedOn w:val="DefaultParagraphFont"/>
    <w:uiPriority w:val="9"/>
    <w:semiHidden/>
    <w:qFormat/>
    <w:rsid w:val="00fc693f"/>
    <w:rPr>
      <w:rFonts w:ascii="Calibri" w:hAnsi="Calibri" w:eastAsia="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themeColor="accent1" w:val="4F81BD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">
    <w:name w:val="List"/>
    <w:basedOn w:val="Normal"/>
    <w:uiPriority w:val="99"/>
    <w:unhideWhenUsed/>
    <w:rsid w:val="00aa1d8d"/>
    <w:pPr>
      <w:spacing w:before="0" w:after="200"/>
      <w:ind w:hanging="360" w:start="360"/>
      <w:contextualSpacing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themeColor="accent1" w:val="4F81BD"/>
      <w:sz w:val="18"/>
      <w:szCs w:val="18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user">
    <w:name w:val="Cabeçalho e rodapé (user)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suppressAutoHyphens w:val="true"/>
      <w:bidi w:val="0"/>
      <w:spacing w:lineRule="auto" w:line="240" w:before="0" w:after="0"/>
      <w:jc w:val="start"/>
    </w:pPr>
    <w:rPr>
      <w:rFonts w:ascii="Cambria" w:hAnsi="Cambria" w:eastAsia="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libri" w:hAnsi="Calibri" w:eastAsia="" w:cs="" w:asciiTheme="majorHAnsi" w:cstheme="majorBidi" w:eastAsiaTheme="majorEastAsia" w:hAnsiTheme="majorHAnsi"/>
      <w:b/>
      <w:color w:val="000000"/>
      <w:spacing w:val="5"/>
      <w:kern w:val="2"/>
      <w:sz w:val="34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200"/>
      <w:ind w:start="72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2">
    <w:name w:val="List 2"/>
    <w:basedOn w:val="Normal"/>
    <w:uiPriority w:val="99"/>
    <w:unhideWhenUsed/>
    <w:qFormat/>
    <w:rsid w:val="00326f90"/>
    <w:pPr>
      <w:spacing w:before="0" w:after="200"/>
      <w:ind w:hanging="360" w:start="720"/>
      <w:contextualSpacing/>
    </w:pPr>
    <w:rPr/>
  </w:style>
  <w:style w:type="paragraph" w:styleId="List3">
    <w:name w:val="List 3"/>
    <w:basedOn w:val="Normal"/>
    <w:uiPriority w:val="99"/>
    <w:unhideWhenUsed/>
    <w:qFormat/>
    <w:rsid w:val="00326f90"/>
    <w:pPr>
      <w:spacing w:before="0" w:after="200"/>
      <w:ind w:hanging="360" w:start="1080"/>
      <w:contextualSpacing/>
    </w:pPr>
    <w:rPr/>
  </w:style>
  <w:style w:type="paragraph" w:styleId="ListBullet">
    <w:name w:val="List Bullet"/>
    <w:basedOn w:val="Normal"/>
    <w:uiPriority w:val="99"/>
    <w:unhideWhenUsed/>
    <w:rsid w:val="00326f90"/>
    <w:pPr>
      <w:numPr>
        <w:ilvl w:val="0"/>
        <w:numId w:val="1"/>
      </w:numPr>
      <w:spacing w:before="0" w:after="200"/>
      <w:contextualSpacing/>
    </w:pPr>
    <w:rPr/>
  </w:style>
  <w:style w:type="paragraph" w:styleId="ListBullet2">
    <w:name w:val="List Bullet 2"/>
    <w:basedOn w:val="Normal"/>
    <w:uiPriority w:val="99"/>
    <w:unhideWhenUsed/>
    <w:rsid w:val="00326f90"/>
    <w:pPr>
      <w:numPr>
        <w:ilvl w:val="0"/>
        <w:numId w:val="2"/>
      </w:numPr>
      <w:spacing w:before="0" w:after="200"/>
      <w:contextualSpacing/>
    </w:pPr>
    <w:rPr/>
  </w:style>
  <w:style w:type="paragraph" w:styleId="ListBullet3">
    <w:name w:val="List Bullet 3"/>
    <w:basedOn w:val="Normal"/>
    <w:uiPriority w:val="99"/>
    <w:unhideWhenUsed/>
    <w:rsid w:val="00326f90"/>
    <w:pPr>
      <w:numPr>
        <w:ilvl w:val="0"/>
        <w:numId w:val="3"/>
      </w:numPr>
      <w:spacing w:before="0" w:after="200"/>
      <w:contextualSpacing/>
    </w:pPr>
    <w:rPr/>
  </w:style>
  <w:style w:type="paragraph" w:styleId="ListNumber">
    <w:name w:val="List Number"/>
    <w:basedOn w:val="Normal"/>
    <w:uiPriority w:val="99"/>
    <w:unhideWhenUsed/>
    <w:rsid w:val="00326f90"/>
    <w:pPr>
      <w:numPr>
        <w:ilvl w:val="0"/>
        <w:numId w:val="4"/>
      </w:numPr>
      <w:spacing w:before="0" w:after="200"/>
      <w:contextualSpacing/>
    </w:pPr>
    <w:rPr/>
  </w:style>
  <w:style w:type="paragraph" w:styleId="ListNumber2">
    <w:name w:val="List Number 2"/>
    <w:basedOn w:val="Normal"/>
    <w:uiPriority w:val="99"/>
    <w:unhideWhenUsed/>
    <w:rsid w:val="0029639d"/>
    <w:pPr>
      <w:numPr>
        <w:ilvl w:val="0"/>
        <w:numId w:val="5"/>
      </w:numPr>
      <w:spacing w:before="0" w:after="200"/>
      <w:contextualSpacing/>
    </w:pPr>
    <w:rPr/>
  </w:style>
  <w:style w:type="paragraph" w:styleId="ListNumber3">
    <w:name w:val="List Number 3"/>
    <w:basedOn w:val="Normal"/>
    <w:uiPriority w:val="99"/>
    <w:unhideWhenUsed/>
    <w:rsid w:val="0029639d"/>
    <w:pPr>
      <w:numPr>
        <w:ilvl w:val="0"/>
        <w:numId w:val="6"/>
      </w:numPr>
      <w:spacing w:before="0" w:after="200"/>
      <w:contextualSpacing/>
    </w:pPr>
    <w:rPr/>
  </w:style>
  <w:style w:type="paragraph" w:styleId="ListContinue">
    <w:name w:val="List Continue"/>
    <w:basedOn w:val="Normal"/>
    <w:uiPriority w:val="99"/>
    <w:unhideWhenUsed/>
    <w:rsid w:val="0029639d"/>
    <w:pPr>
      <w:spacing w:before="0" w:after="120"/>
      <w:ind w:start="360"/>
      <w:contextualSpacing/>
    </w:pPr>
    <w:rPr/>
  </w:style>
  <w:style w:type="paragraph" w:styleId="ListContinue2">
    <w:name w:val="List Continue 2"/>
    <w:basedOn w:val="Normal"/>
    <w:uiPriority w:val="99"/>
    <w:unhideWhenUsed/>
    <w:rsid w:val="0029639d"/>
    <w:pPr>
      <w:spacing w:before="0" w:after="120"/>
      <w:ind w:start="720"/>
      <w:contextualSpacing/>
    </w:pPr>
    <w:rPr/>
  </w:style>
  <w:style w:type="paragraph" w:styleId="ListContinue3">
    <w:name w:val="List Continue 3"/>
    <w:basedOn w:val="Normal"/>
    <w:uiPriority w:val="99"/>
    <w:unhideWhenUsed/>
    <w:rsid w:val="0029639d"/>
    <w:pPr>
      <w:spacing w:before="0" w:after="120"/>
      <w:ind w:start="1080"/>
      <w:contextualSpacing/>
    </w:pPr>
    <w:rPr/>
  </w:style>
  <w:style w:type="paragraph" w:styleId="MacroText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suppressAutoHyphens w:val="true"/>
      <w:bidi w:val="0"/>
      <w:spacing w:lineRule="auto" w:line="276" w:before="0" w:after="200"/>
      <w:jc w:val="start"/>
    </w:pPr>
    <w:rPr>
      <w:rFonts w:ascii="Courier" w:hAnsi="Courier" w:eastAsia="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themeColor="text1"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start="936" w:end="936"/>
    </w:pPr>
    <w:rPr>
      <w:b/>
      <w:bCs/>
      <w:i/>
      <w:iCs/>
      <w:color w:themeColor="accent1" w:val="4F81BD"/>
    </w:rPr>
  </w:style>
  <w:style w:type="paragraph" w:styleId="IndexHeading">
    <w:name w:val="index heading"/>
    <w:basedOn w:val="Ttulouser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/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  <w:tblPr/>
    </w:tblStylePr>
    <w:tblStylePr w:type="nwCell">
      <w:rPr>
        <w:color w:val="000000"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LibreOffice/26.2.5.2$Windows_X86_64 LibreOffice_project/cd7284b4cbbfeb507e630c1aac019f4157393acb</Application>
  <AppVersion>15.0000</AppVersion>
  <Pages>2</Pages>
  <Words>462</Words>
  <Characters>2719</Characters>
  <CharactersWithSpaces>3133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IFSul Câmpus Sapiranga</dc:creator>
  <dc:description/>
  <dc:language>pt-BR</dc:language>
  <cp:lastModifiedBy/>
  <dcterms:modified xsi:type="dcterms:W3CDTF">2026-09-14T19:59:57Z</dcterms:modified>
  <cp:revision>3</cp:revision>
  <dc:subject>Aquisição de kits de lanche individual</dc:subject>
  <dc:title>Minuta de Termo de Referência Ação de Alimentação 21IV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